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50" w:rsidRPr="0096670E" w:rsidRDefault="00BC5150" w:rsidP="00BC5150">
      <w:pPr>
        <w:spacing w:line="240" w:lineRule="atLeast"/>
        <w:rPr>
          <w:b/>
          <w:lang w:val="sr-Cyrl-CS"/>
        </w:rPr>
      </w:pPr>
      <w:r w:rsidRPr="0096670E">
        <w:rPr>
          <w:b/>
          <w:lang w:val="sr-Cyrl-CS"/>
        </w:rPr>
        <w:t xml:space="preserve">РЕПУБЛИКА СРБИЈА              </w:t>
      </w:r>
    </w:p>
    <w:p w:rsidR="00BC5150" w:rsidRPr="0096670E" w:rsidRDefault="00BC5150" w:rsidP="00BC5150">
      <w:pPr>
        <w:spacing w:line="240" w:lineRule="atLeast"/>
        <w:rPr>
          <w:b/>
          <w:lang w:val="sr-Cyrl-CS"/>
        </w:rPr>
      </w:pPr>
      <w:r w:rsidRPr="0096670E">
        <w:rPr>
          <w:b/>
          <w:lang w:val="sr-Cyrl-CS"/>
        </w:rPr>
        <w:t>НАРОДНА СКУПШТИНА</w:t>
      </w:r>
    </w:p>
    <w:p w:rsidR="00BC5150" w:rsidRDefault="00BC5150" w:rsidP="00BC5150">
      <w:pPr>
        <w:tabs>
          <w:tab w:val="left" w:pos="1134"/>
        </w:tabs>
        <w:spacing w:line="240" w:lineRule="atLeast"/>
        <w:rPr>
          <w:b/>
        </w:rPr>
      </w:pPr>
      <w:r w:rsidRPr="0096670E">
        <w:rPr>
          <w:b/>
        </w:rPr>
        <w:t>O</w:t>
      </w:r>
      <w:r w:rsidRPr="0096670E">
        <w:rPr>
          <w:b/>
          <w:lang w:val="sr-Cyrl-CS"/>
        </w:rPr>
        <w:t xml:space="preserve">дбор </w:t>
      </w:r>
      <w:r>
        <w:rPr>
          <w:b/>
          <w:lang w:val="sr-Cyrl-CS"/>
        </w:rPr>
        <w:t>за дијаспору и Србе у региону</w:t>
      </w:r>
    </w:p>
    <w:p w:rsidR="00BC5150" w:rsidRPr="00BC70A4" w:rsidRDefault="00BC5150" w:rsidP="00BC5150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Број: </w:t>
      </w:r>
      <w:r>
        <w:rPr>
          <w:b/>
          <w:color w:val="000000"/>
          <w:lang w:val="ru-RU"/>
        </w:rPr>
        <w:t>114-</w:t>
      </w:r>
      <w:r>
        <w:rPr>
          <w:b/>
          <w:color w:val="000000"/>
          <w:lang w:val="sr-Latn-CS"/>
        </w:rPr>
        <w:t>3601</w:t>
      </w:r>
      <w:r>
        <w:rPr>
          <w:b/>
          <w:color w:val="000000"/>
          <w:lang w:val="ru-RU"/>
        </w:rPr>
        <w:t>/12</w:t>
      </w:r>
    </w:p>
    <w:p w:rsidR="00BC5150" w:rsidRPr="0096670E" w:rsidRDefault="00BC5150" w:rsidP="00BC5150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sr-Latn-CS"/>
        </w:rPr>
        <w:t>19</w:t>
      </w:r>
      <w:r w:rsidRPr="0096670E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новем</w:t>
      </w:r>
      <w:r w:rsidRPr="0096670E">
        <w:rPr>
          <w:b/>
          <w:bCs/>
          <w:lang w:val="ru-RU"/>
        </w:rPr>
        <w:t>бар 2012. године</w:t>
      </w:r>
    </w:p>
    <w:p w:rsidR="00BC5150" w:rsidRPr="0096670E" w:rsidRDefault="00BC5150" w:rsidP="00BC5150">
      <w:pPr>
        <w:spacing w:line="240" w:lineRule="atLeast"/>
        <w:rPr>
          <w:b/>
          <w:bCs/>
          <w:lang w:val="sr-Cyrl-CS"/>
        </w:rPr>
      </w:pPr>
      <w:r w:rsidRPr="0096670E">
        <w:rPr>
          <w:b/>
          <w:bCs/>
          <w:lang w:val="sr-Cyrl-CS"/>
        </w:rPr>
        <w:t>Б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е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о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г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р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а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д</w:t>
      </w:r>
    </w:p>
    <w:p w:rsidR="00BC5150" w:rsidRPr="0096670E" w:rsidRDefault="00BC5150" w:rsidP="00BC5150">
      <w:pPr>
        <w:spacing w:line="240" w:lineRule="atLeast"/>
        <w:rPr>
          <w:bCs/>
          <w:lang w:val="sr-Cyrl-CS"/>
        </w:rPr>
      </w:pPr>
    </w:p>
    <w:p w:rsidR="00BC5150" w:rsidRPr="0096670E" w:rsidRDefault="00BC5150" w:rsidP="00BC5150">
      <w:pPr>
        <w:spacing w:line="240" w:lineRule="atLeast"/>
        <w:rPr>
          <w:lang w:val="sr-Cyrl-CS"/>
        </w:rPr>
      </w:pPr>
    </w:p>
    <w:p w:rsidR="00BC5150" w:rsidRDefault="00BC5150" w:rsidP="00BC5150">
      <w:pPr>
        <w:spacing w:line="240" w:lineRule="atLeast"/>
        <w:rPr>
          <w:lang w:val="sr-Cyrl-CS"/>
        </w:rPr>
      </w:pPr>
    </w:p>
    <w:p w:rsidR="00BC5150" w:rsidRDefault="00BC5150" w:rsidP="00BC5150">
      <w:pPr>
        <w:spacing w:line="240" w:lineRule="atLeast"/>
        <w:rPr>
          <w:lang w:val="sr-Cyrl-CS"/>
        </w:rPr>
      </w:pPr>
    </w:p>
    <w:p w:rsidR="00BC5150" w:rsidRDefault="00BC5150" w:rsidP="00BC5150">
      <w:pPr>
        <w:spacing w:line="240" w:lineRule="atLeast"/>
        <w:rPr>
          <w:lang w:val="sr-Cyrl-CS"/>
        </w:rPr>
      </w:pPr>
    </w:p>
    <w:p w:rsidR="00BC5150" w:rsidRPr="0096670E" w:rsidRDefault="00BC5150" w:rsidP="00BC5150">
      <w:pPr>
        <w:spacing w:line="240" w:lineRule="atLeast"/>
        <w:rPr>
          <w:lang w:val="sr-Cyrl-CS"/>
        </w:rPr>
      </w:pPr>
    </w:p>
    <w:p w:rsidR="00BC5150" w:rsidRPr="0096670E" w:rsidRDefault="00BC5150" w:rsidP="00BC5150">
      <w:pPr>
        <w:spacing w:line="240" w:lineRule="atLeast"/>
        <w:rPr>
          <w:lang w:val="sr-Cyrl-CS"/>
        </w:rPr>
      </w:pPr>
    </w:p>
    <w:p w:rsidR="00BC5150" w:rsidRPr="0096670E" w:rsidRDefault="00BC5150" w:rsidP="00BC5150">
      <w:pPr>
        <w:spacing w:line="240" w:lineRule="atLeast"/>
        <w:rPr>
          <w:lang w:val="sr-Cyrl-CS"/>
        </w:rPr>
      </w:pPr>
    </w:p>
    <w:p w:rsidR="00BC5150" w:rsidRPr="0096670E" w:rsidRDefault="00BC5150" w:rsidP="00BC5150">
      <w:pPr>
        <w:tabs>
          <w:tab w:val="left" w:pos="1134"/>
        </w:tabs>
        <w:spacing w:line="240" w:lineRule="atLeast"/>
        <w:jc w:val="center"/>
        <w:rPr>
          <w:b/>
          <w:lang w:val="ru-RU"/>
        </w:rPr>
      </w:pPr>
      <w:r w:rsidRPr="0096670E">
        <w:rPr>
          <w:b/>
          <w:lang w:val="ru-RU"/>
        </w:rPr>
        <w:t>ОДБОРУ ЗА СПОЉНЕ ПОСЛОВЕ</w:t>
      </w:r>
    </w:p>
    <w:p w:rsidR="00BC5150" w:rsidRPr="0096670E" w:rsidRDefault="00BC5150" w:rsidP="00BC5150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BC5150" w:rsidRPr="0096670E" w:rsidRDefault="00BC5150" w:rsidP="00BC5150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6670E">
        <w:rPr>
          <w:lang w:val="ru-RU"/>
        </w:rPr>
        <w:tab/>
        <w:t xml:space="preserve">У прилогу достављам Извештај </w:t>
      </w:r>
      <w:r>
        <w:rPr>
          <w:lang w:val="ru-RU"/>
        </w:rPr>
        <w:t xml:space="preserve">народног посланика, председника  Одбора за дијаспору и Србе у региону Александра Чотрића и члана Одбора Миодрага Линте </w:t>
      </w:r>
      <w:r w:rsidRPr="0096670E">
        <w:rPr>
          <w:lang w:val="sr-Cyrl-CS"/>
        </w:rPr>
        <w:t xml:space="preserve">о посети </w:t>
      </w:r>
      <w:r>
        <w:rPr>
          <w:lang w:val="sr-Cyrl-CS"/>
        </w:rPr>
        <w:t xml:space="preserve"> Румунији 16. новембра</w:t>
      </w:r>
      <w:r w:rsidRPr="0096670E">
        <w:rPr>
          <w:lang w:val="sr-Cyrl-CS"/>
        </w:rPr>
        <w:t xml:space="preserve"> 2012. године, </w:t>
      </w:r>
      <w:r w:rsidRPr="0096670E">
        <w:rPr>
          <w:lang w:val="ru-RU"/>
        </w:rPr>
        <w:t>са молбом да га Одбор размотри и усвоји.</w:t>
      </w:r>
    </w:p>
    <w:p w:rsidR="00BC5150" w:rsidRPr="0096670E" w:rsidRDefault="00BC5150" w:rsidP="00BC5150">
      <w:pPr>
        <w:tabs>
          <w:tab w:val="left" w:pos="1134"/>
        </w:tabs>
        <w:spacing w:line="240" w:lineRule="atLeast"/>
        <w:jc w:val="both"/>
        <w:rPr>
          <w:lang w:val="sr-Latn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Pr="0085307D" w:rsidRDefault="00BC5150" w:rsidP="00BC5150">
      <w:pPr>
        <w:spacing w:line="240" w:lineRule="atLeas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СЕКРАТАР ОДБОРА</w:t>
      </w:r>
    </w:p>
    <w:p w:rsidR="00BC5150" w:rsidRPr="0096670E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  <w:r>
        <w:rPr>
          <w:b/>
          <w:lang w:val="sr-Cyrl-CS"/>
        </w:rPr>
        <w:t>Весна Матић Вукашиновић</w:t>
      </w:r>
    </w:p>
    <w:p w:rsidR="00BC5150" w:rsidRPr="0096670E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Default="00BC5150" w:rsidP="00BC5150">
      <w:pPr>
        <w:spacing w:line="240" w:lineRule="atLeast"/>
        <w:jc w:val="right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BC5150" w:rsidRPr="0096670E" w:rsidRDefault="00BC5150" w:rsidP="00BC5150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Default="00BC5150" w:rsidP="00BC5150">
      <w:pPr>
        <w:tabs>
          <w:tab w:val="left" w:pos="285"/>
        </w:tabs>
        <w:rPr>
          <w:b/>
          <w:lang w:val="sr-Cyrl-CS"/>
        </w:rPr>
      </w:pPr>
    </w:p>
    <w:p w:rsidR="00BC5150" w:rsidRPr="00BC70A4" w:rsidRDefault="00BC5150" w:rsidP="00BC5150">
      <w:pPr>
        <w:tabs>
          <w:tab w:val="left" w:pos="285"/>
        </w:tabs>
        <w:rPr>
          <w:b/>
          <w:lang w:val="sr-Cyrl-CS"/>
        </w:rPr>
      </w:pPr>
      <w:r w:rsidRPr="00BC70A4">
        <w:rPr>
          <w:b/>
          <w:lang w:val="sr-Cyrl-CS"/>
        </w:rPr>
        <w:t>РЕПУБЛИКА СРБИЈА</w:t>
      </w:r>
    </w:p>
    <w:p w:rsidR="00BC5150" w:rsidRPr="00BC70A4" w:rsidRDefault="00BC5150" w:rsidP="00BC5150">
      <w:pPr>
        <w:tabs>
          <w:tab w:val="left" w:pos="285"/>
        </w:tabs>
        <w:rPr>
          <w:b/>
          <w:lang w:val="sr-Cyrl-CS"/>
        </w:rPr>
      </w:pPr>
      <w:r w:rsidRPr="00BC70A4">
        <w:rPr>
          <w:b/>
          <w:lang w:val="sr-Cyrl-CS"/>
        </w:rPr>
        <w:t>НАРОДНА СКУПШТИНА</w:t>
      </w:r>
    </w:p>
    <w:p w:rsidR="00BC5150" w:rsidRPr="00BC70A4" w:rsidRDefault="00BC5150" w:rsidP="00BC5150">
      <w:pPr>
        <w:tabs>
          <w:tab w:val="left" w:pos="1134"/>
        </w:tabs>
        <w:rPr>
          <w:b/>
          <w:lang w:val="ru-RU"/>
        </w:rPr>
      </w:pPr>
      <w:r w:rsidRPr="00BC70A4">
        <w:rPr>
          <w:b/>
          <w:lang w:val="ru-RU"/>
        </w:rPr>
        <w:t>Одбор за дијаспору и Србе у региону</w:t>
      </w:r>
    </w:p>
    <w:p w:rsidR="00BC5150" w:rsidRPr="00BC70A4" w:rsidRDefault="00BC5150" w:rsidP="00BC5150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Број: </w:t>
      </w:r>
      <w:r>
        <w:rPr>
          <w:b/>
          <w:color w:val="000000"/>
          <w:lang w:val="ru-RU"/>
        </w:rPr>
        <w:t>114-3601/12</w:t>
      </w:r>
    </w:p>
    <w:p w:rsidR="00BC5150" w:rsidRDefault="00BC5150" w:rsidP="00BC5150">
      <w:pPr>
        <w:rPr>
          <w:b/>
          <w:lang w:val="sr-Cyrl-CS"/>
        </w:rPr>
      </w:pPr>
      <w:r>
        <w:rPr>
          <w:b/>
          <w:lang w:val="ru-RU"/>
        </w:rPr>
        <w:t>19</w:t>
      </w:r>
      <w:r w:rsidRPr="00BC70A4">
        <w:rPr>
          <w:b/>
          <w:lang w:val="ru-RU"/>
        </w:rPr>
        <w:t xml:space="preserve">. новембар </w:t>
      </w:r>
      <w:r w:rsidRPr="00BC70A4">
        <w:rPr>
          <w:b/>
          <w:lang w:val="sr-Cyrl-CS"/>
        </w:rPr>
        <w:t>2012. Године</w:t>
      </w:r>
    </w:p>
    <w:p w:rsidR="00BC5150" w:rsidRPr="00BC70A4" w:rsidRDefault="00BC5150" w:rsidP="00BC5150">
      <w:pPr>
        <w:rPr>
          <w:b/>
          <w:lang w:val="sr-Cyrl-CS"/>
        </w:rPr>
      </w:pPr>
      <w:r w:rsidRPr="00BC70A4">
        <w:rPr>
          <w:b/>
          <w:lang w:val="sr-Cyrl-CS"/>
        </w:rPr>
        <w:t>Б е о г р а д</w:t>
      </w:r>
    </w:p>
    <w:p w:rsidR="00BC5150" w:rsidRDefault="00BC5150" w:rsidP="00BC5150">
      <w:pPr>
        <w:rPr>
          <w:b/>
          <w:lang w:val="sr-Cyrl-CS"/>
        </w:rPr>
      </w:pPr>
    </w:p>
    <w:p w:rsidR="00BC5150" w:rsidRDefault="00BC5150" w:rsidP="00BC5150">
      <w:pPr>
        <w:rPr>
          <w:b/>
          <w:lang w:val="sr-Cyrl-CS"/>
        </w:rPr>
      </w:pPr>
    </w:p>
    <w:p w:rsidR="00BC5150" w:rsidRPr="00BC70A4" w:rsidRDefault="00BC5150" w:rsidP="00BC5150">
      <w:pPr>
        <w:rPr>
          <w:b/>
          <w:lang w:val="sr-Cyrl-CS"/>
        </w:rPr>
      </w:pPr>
    </w:p>
    <w:p w:rsidR="00BC5150" w:rsidRPr="00BC70A4" w:rsidRDefault="00BC5150" w:rsidP="00BC5150">
      <w:pPr>
        <w:jc w:val="center"/>
        <w:rPr>
          <w:b/>
          <w:lang w:val="sr-Cyrl-CS"/>
        </w:rPr>
      </w:pPr>
      <w:r w:rsidRPr="00BC70A4">
        <w:rPr>
          <w:b/>
          <w:lang w:val="sr-Cyrl-CS"/>
        </w:rPr>
        <w:t>И З В Е Ш Т А Ј</w:t>
      </w:r>
    </w:p>
    <w:p w:rsidR="00BC5150" w:rsidRPr="00BC70A4" w:rsidRDefault="00BC5150" w:rsidP="00BC5150">
      <w:pPr>
        <w:jc w:val="center"/>
        <w:rPr>
          <w:b/>
          <w:lang w:val="sr-Cyrl-CS"/>
        </w:rPr>
      </w:pPr>
    </w:p>
    <w:p w:rsidR="00BC5150" w:rsidRPr="00B2149E" w:rsidRDefault="00BC5150" w:rsidP="00BC5150">
      <w:pPr>
        <w:ind w:left="720"/>
        <w:jc w:val="center"/>
        <w:rPr>
          <w:b/>
          <w:lang w:val="sr-Cyrl-RS"/>
        </w:rPr>
      </w:pPr>
      <w:r w:rsidRPr="00BC70A4">
        <w:rPr>
          <w:b/>
          <w:lang w:val="sr-Cyrl-CS"/>
        </w:rPr>
        <w:t>о посети народних посланика Александра Чотрића, председника Одбора за дијаспору и Србе у региону Народне скупштине Републике Србије</w:t>
      </w:r>
      <w:r>
        <w:rPr>
          <w:b/>
          <w:lang w:val="sr-Cyrl-CS"/>
        </w:rPr>
        <w:t xml:space="preserve"> и</w:t>
      </w:r>
      <w:r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Миодрага Линте</w:t>
      </w:r>
      <w:r w:rsidRPr="00BC70A4">
        <w:rPr>
          <w:b/>
          <w:lang w:val="sr-Cyrl-CS"/>
        </w:rPr>
        <w:t>, члана Одбора</w:t>
      </w:r>
      <w:r>
        <w:rPr>
          <w:b/>
          <w:lang w:val="sr-Cyrl-CS"/>
        </w:rPr>
        <w:t xml:space="preserve"> </w:t>
      </w:r>
      <w:r w:rsidRPr="00BC70A4">
        <w:rPr>
          <w:b/>
          <w:lang w:val="sr-Cyrl-CS"/>
        </w:rPr>
        <w:t>Р</w:t>
      </w:r>
      <w:r>
        <w:rPr>
          <w:b/>
          <w:lang w:val="sr-Cyrl-CS"/>
        </w:rPr>
        <w:t>умуни</w:t>
      </w:r>
      <w:r w:rsidRPr="00BC70A4">
        <w:rPr>
          <w:b/>
          <w:lang w:val="sr-Cyrl-CS"/>
        </w:rPr>
        <w:t xml:space="preserve">ји поводом </w:t>
      </w:r>
      <w:r>
        <w:rPr>
          <w:b/>
          <w:lang w:val="sr-Cyrl-CS"/>
        </w:rPr>
        <w:t xml:space="preserve">свечане манифестације „Дани српске културе у  Темишвару“ </w:t>
      </w:r>
    </w:p>
    <w:p w:rsidR="00BC5150" w:rsidRPr="00BC70A4" w:rsidRDefault="00BC5150" w:rsidP="00BC5150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16</w:t>
      </w:r>
      <w:r w:rsidRPr="00BC70A4">
        <w:rPr>
          <w:b/>
          <w:lang w:val="sr-Cyrl-CS"/>
        </w:rPr>
        <w:t xml:space="preserve">. </w:t>
      </w:r>
      <w:r>
        <w:rPr>
          <w:b/>
          <w:lang w:val="sr-Cyrl-CS"/>
        </w:rPr>
        <w:t>новем</w:t>
      </w:r>
      <w:r w:rsidRPr="00BC70A4">
        <w:rPr>
          <w:b/>
          <w:lang w:val="sr-Cyrl-CS"/>
        </w:rPr>
        <w:t>бра 2012. године</w:t>
      </w:r>
    </w:p>
    <w:p w:rsidR="00BC5150" w:rsidRDefault="00BC5150" w:rsidP="00BC5150">
      <w:pPr>
        <w:rPr>
          <w:b/>
          <w:lang w:val="sr-Cyrl-CS"/>
        </w:rPr>
      </w:pPr>
    </w:p>
    <w:p w:rsidR="00BC5150" w:rsidRDefault="00BC5150" w:rsidP="00BC5150">
      <w:pPr>
        <w:rPr>
          <w:b/>
          <w:lang w:val="sr-Cyrl-CS"/>
        </w:rPr>
      </w:pPr>
    </w:p>
    <w:p w:rsidR="00BC5150" w:rsidRPr="00BC70A4" w:rsidRDefault="00BC5150" w:rsidP="00BC5150">
      <w:pPr>
        <w:rPr>
          <w:b/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 w:rsidRPr="00FB6277">
        <w:rPr>
          <w:lang w:val="sr-Cyrl-CS"/>
        </w:rPr>
        <w:t>На основу Одлуке председника Народне скупштине Републике Србије</w:t>
      </w:r>
      <w:r>
        <w:t xml:space="preserve"> </w:t>
      </w:r>
      <w:r w:rsidRPr="00DD5F31">
        <w:t xml:space="preserve">03 </w:t>
      </w:r>
      <w:proofErr w:type="spellStart"/>
      <w:r w:rsidRPr="00DD5F31">
        <w:t>Број</w:t>
      </w:r>
      <w:proofErr w:type="spellEnd"/>
      <w:r w:rsidRPr="00DD5F31">
        <w:t xml:space="preserve"> 114-</w:t>
      </w:r>
      <w:r>
        <w:rPr>
          <w:lang w:val="sr-Cyrl-CS"/>
        </w:rPr>
        <w:t>3601/12</w:t>
      </w:r>
      <w:r w:rsidRPr="00FB6277">
        <w:rPr>
          <w:lang w:val="sr-Cyrl-CS"/>
        </w:rPr>
        <w:t xml:space="preserve">, а на позив Савеза Срба у Румунији, </w:t>
      </w:r>
      <w:r>
        <w:rPr>
          <w:lang w:val="sr-Cyrl-CS"/>
        </w:rPr>
        <w:t xml:space="preserve">смо, ја </w:t>
      </w:r>
      <w:r w:rsidRPr="00FB6277">
        <w:rPr>
          <w:lang w:val="sr-Cyrl-CS"/>
        </w:rPr>
        <w:t>у својству народног посланика и председника Одбора за дијаспору и Србе у региону</w:t>
      </w:r>
      <w:r>
        <w:rPr>
          <w:lang w:val="sr-Cyrl-CS"/>
        </w:rPr>
        <w:t xml:space="preserve"> и Миодраг Линта у својству народног посланика и  члана Одбора посетили</w:t>
      </w:r>
      <w:r w:rsidRPr="00FB6277">
        <w:rPr>
          <w:lang w:val="sr-Cyrl-CS"/>
        </w:rPr>
        <w:t xml:space="preserve">  Румуниј</w:t>
      </w:r>
      <w:r>
        <w:rPr>
          <w:lang w:val="sr-Cyrl-CS"/>
        </w:rPr>
        <w:t>у, Темишвар 16</w:t>
      </w:r>
      <w:r w:rsidRPr="00FB6277">
        <w:rPr>
          <w:lang w:val="sr-Cyrl-CS"/>
        </w:rPr>
        <w:t xml:space="preserve">. </w:t>
      </w:r>
      <w:r>
        <w:rPr>
          <w:lang w:val="sr-Cyrl-CS"/>
        </w:rPr>
        <w:t>новембр</w:t>
      </w:r>
      <w:r w:rsidRPr="00FB6277">
        <w:rPr>
          <w:lang w:val="sr-Cyrl-CS"/>
        </w:rPr>
        <w:t>а 2012. године.</w:t>
      </w:r>
      <w:r>
        <w:rPr>
          <w:lang w:val="sr-Cyrl-CS"/>
        </w:rPr>
        <w:t xml:space="preserve"> 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>Назначеног датума смо најпре посетили Генерални конзулат Републике Србије у Темишвару и на пријему код Генералног конзула Лазара Манојловића  у разговору добили неколико информација, са којима би, по његовим речима,  надлежни државни органи у Србији требали да се упознају и предузму одговарајуће кораке у циљу њиховог решавања, а тичу се побољшања положаја српске заједнице у Румунији. У каснијим разговорима како са председником Скупштине дијаспоре и Срба у региону, др Славомиром Гвозденовићем, тако и са представницима српске православне епархије Темишварске издвојила су се питања на која је и Генерални конзул указао,   а тичу се следећег: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>1. На катедри Српског језика на факултету у Букурешту и Темишвару, професори већ извесно време не примају лекторски додатак, што у материјалном смислу онемогућава два српска професора да континуирано наставе  рад на катедри , а у вези чега се Генерални конзул  више пута писмено обраћао Министарству просвете, науке и технолошког развоја. Наиме, ради се о месечном додатку од 200-300 еура, који би професорима омогућио несметани наставак рада на факултету;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 xml:space="preserve">2.  Аутохтони Срби у Румунији који немају српско држављанство, имају проблем са процедуром, односно последњим документом који се у процедури захтева, а ради се о </w:t>
      </w:r>
      <w:r>
        <w:rPr>
          <w:lang w:val="sr-Cyrl-CS"/>
        </w:rPr>
        <w:lastRenderedPageBreak/>
        <w:t xml:space="preserve">доказу да је неко од предака рођен на територији Републике Србије. Кроз Закон о држављанству Србије могла би се убрзати, поједноставити и скратити процедура добијања двојног држављанства српске мањине у Румунији, при чему, по њиховим речима, у овом случају, двојно држављансто представља више ствар сентимента за српску заједницу у Румунији. 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 xml:space="preserve">3. Решавање питања враћања некретнине „Макрин дом“ из Темишвара, чије враћање тражи српска православна парохија (СПП) још од 1992. године. Ради се о двоспратној некретнини и дворишту површине 2.200 кватратних метара земљишта у најужем центру Темишвара. То је, иначе, здање које је чувена добротворка Персида Макри Стојковић оставила Српској Православној Цркви, како би црква помогла децу сирочад, ученике, ђаке и студенте без материјалних могућности за школовање. У својству законског представника, СПП Темишвар- Град, покренула је парнице за враћање некретнине, коју је Румунска држава национализовала 1968. године. Наде у решавање овог питања се полажу у Специјалну комисију при Влади Румуније за враћање некретнина које су припадале верским институцијама. 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>Након разговора у Генералном конзулату,  присуствовали смо свечаном обележавању Дана школе српске гимназије „Доситеј Обрадовић“ у Темишвару уз пригодан културно ументнички програм и разговарали са директором и професорима ове гимназије, а разговору су присуствовали и свештеници – представници српске православне епархије Темишвар, који су још једном подвукли проблем „Макриног дома“.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 xml:space="preserve">У изложбеном простору Бастион – Теразија, Галерија Мансарда у Темишвару  присуствовали смо отварању Сајма српске књиге у оквиру манифестације „Дани српске културе“, где су излагали: „Матица српска“ Нови Сад; „Просвета“ Београд ; „Прометеј“ Нови Сад; „Српска реч Бегорад; „Школа плус“ Београд, „Филип Вишњић“ Београд; „Невен“ Београд; УКС, „Ризница“ Лужнице; Београдска књига „Издан“Будимпешта, и Издавачка кућа ССР Темишвар. У овом простору су биле изложене уметничке фотографије „Сведоци трајања-српски манастири и цркве у румунском Банату“, Центар „Цеком“ Зрењанин; аутори: Милорад Савић, публициста, Дарко Дозет фотограф. </w:t>
      </w:r>
    </w:p>
    <w:p w:rsidR="00BC5150" w:rsidRDefault="00BC5150" w:rsidP="00BC5150">
      <w:pPr>
        <w:jc w:val="both"/>
        <w:rPr>
          <w:lang w:val="sr-Cyrl-CS"/>
        </w:rPr>
      </w:pPr>
      <w:r>
        <w:rPr>
          <w:lang w:val="sr-Cyrl-CS"/>
        </w:rPr>
        <w:t>Скупу сам се обратио испред Народне скупштине Републике Србије као народни посланик и председник Одбора за дијаспору и Србе у региону, поздравио присутне и рекао да ће Народна скупштина учинити све да  питања о којима су представници српске заједнице у Темишвару изнели на данашњим сусретима, се  што пре реше на начин како би се допринелу јачању поверења српске заједнице у Румунији у матичну државу  . Скупу су се још обратили испред Министарства културе, помоћник министра Драган Коларевић, испред Удружења књижевника Србије Радомир Андрић, председник Удружења, и испред Савеза Срба у Румунији др Славомир Гвозденовић.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Pr="005D6D51" w:rsidRDefault="00BC5150" w:rsidP="00BC5150">
      <w:pPr>
        <w:spacing w:line="240" w:lineRule="atLeast"/>
        <w:jc w:val="both"/>
        <w:rPr>
          <w:b/>
          <w:u w:val="single"/>
          <w:lang w:val="sr-Cyrl-CS"/>
        </w:rPr>
      </w:pPr>
      <w:r w:rsidRPr="005D6D51">
        <w:rPr>
          <w:b/>
          <w:u w:val="single"/>
          <w:lang w:val="sr-Cyrl-CS"/>
        </w:rPr>
        <w:t>Оцене и предлози:</w:t>
      </w:r>
    </w:p>
    <w:p w:rsidR="00BC5150" w:rsidRDefault="00BC5150" w:rsidP="00BC5150">
      <w:pPr>
        <w:jc w:val="both"/>
        <w:rPr>
          <w:lang w:val="sr-Cyrl-CS"/>
        </w:rPr>
      </w:pPr>
    </w:p>
    <w:p w:rsidR="00BC5150" w:rsidRPr="00FB6277" w:rsidRDefault="00BC5150" w:rsidP="00BC5150">
      <w:pPr>
        <w:spacing w:line="240" w:lineRule="atLeast"/>
        <w:jc w:val="both"/>
        <w:rPr>
          <w:lang w:val="sr-Cyrl-CS"/>
        </w:rPr>
      </w:pPr>
      <w:r w:rsidRPr="00FB6277">
        <w:rPr>
          <w:lang w:val="ru-RU"/>
        </w:rPr>
        <w:t>Народни послани</w:t>
      </w:r>
      <w:r>
        <w:rPr>
          <w:lang w:val="ru-RU"/>
        </w:rPr>
        <w:t>ци</w:t>
      </w:r>
      <w:r w:rsidRPr="00FB6277">
        <w:rPr>
          <w:lang w:val="ru-RU"/>
        </w:rPr>
        <w:t xml:space="preserve"> Алекасандар Чотрић </w:t>
      </w:r>
      <w:r>
        <w:rPr>
          <w:lang w:val="ru-RU"/>
        </w:rPr>
        <w:t xml:space="preserve">и  Миодраг Линта </w:t>
      </w:r>
      <w:r w:rsidRPr="00FB6277">
        <w:rPr>
          <w:lang w:val="sr-Cyrl-CS"/>
        </w:rPr>
        <w:t>сматра</w:t>
      </w:r>
      <w:r>
        <w:rPr>
          <w:lang w:val="sr-Cyrl-CS"/>
        </w:rPr>
        <w:t>ју</w:t>
      </w:r>
      <w:r w:rsidRPr="00FB6277">
        <w:rPr>
          <w:lang w:val="sr-Cyrl-CS"/>
        </w:rPr>
        <w:t xml:space="preserve"> да је учешће на манифестацији „Дани </w:t>
      </w:r>
      <w:r>
        <w:rPr>
          <w:lang w:val="sr-Cyrl-CS"/>
        </w:rPr>
        <w:t>српске културе</w:t>
      </w:r>
      <w:r w:rsidRPr="00FB6277">
        <w:rPr>
          <w:lang w:val="sr-Cyrl-CS"/>
        </w:rPr>
        <w:t xml:space="preserve">“ било значајно због развијања веза између Одбора за дијаспору и Србе у региону НС РС са српском заједницом у Румунији и унапређења односа </w:t>
      </w:r>
      <w:r>
        <w:rPr>
          <w:lang w:val="sr-Cyrl-CS"/>
        </w:rPr>
        <w:t xml:space="preserve">са </w:t>
      </w:r>
      <w:r w:rsidRPr="00FB6277">
        <w:rPr>
          <w:lang w:val="sr-Cyrl-CS"/>
        </w:rPr>
        <w:t>организацијама, школама, верским институцијама и медијима српске мањине.</w:t>
      </w:r>
    </w:p>
    <w:p w:rsidR="00BC5150" w:rsidRDefault="00BC5150" w:rsidP="00BC5150">
      <w:pPr>
        <w:spacing w:line="240" w:lineRule="atLeast"/>
        <w:jc w:val="both"/>
        <w:rPr>
          <w:rFonts w:eastAsia="Arial Unicode MS"/>
          <w:lang w:val="sr-Cyrl-CS"/>
        </w:rPr>
      </w:pPr>
      <w:r w:rsidRPr="00FB6277">
        <w:rPr>
          <w:lang w:val="ru-RU"/>
        </w:rPr>
        <w:lastRenderedPageBreak/>
        <w:t>Народни послани</w:t>
      </w:r>
      <w:r>
        <w:rPr>
          <w:lang w:val="ru-RU"/>
        </w:rPr>
        <w:t>ци</w:t>
      </w:r>
      <w:r w:rsidRPr="00FB6277">
        <w:rPr>
          <w:lang w:val="ru-RU"/>
        </w:rPr>
        <w:t xml:space="preserve"> Алекасандар Чотрић </w:t>
      </w:r>
      <w:r>
        <w:rPr>
          <w:lang w:val="ru-RU"/>
        </w:rPr>
        <w:t xml:space="preserve">и Миодраг Линта </w:t>
      </w:r>
      <w:r w:rsidRPr="00FB6277">
        <w:rPr>
          <w:rFonts w:eastAsia="Arial Unicode MS"/>
          <w:lang w:val="sr-Cyrl-CS"/>
        </w:rPr>
        <w:t>оцењуј</w:t>
      </w:r>
      <w:r>
        <w:rPr>
          <w:rFonts w:eastAsia="Arial Unicode MS"/>
          <w:lang w:val="sr-Cyrl-CS"/>
        </w:rPr>
        <w:t>у</w:t>
      </w:r>
      <w:r w:rsidRPr="00FB6277">
        <w:rPr>
          <w:rFonts w:eastAsia="Arial Unicode MS"/>
          <w:lang w:val="sr-Cyrl-CS"/>
        </w:rPr>
        <w:t xml:space="preserve">  учешће на овој</w:t>
      </w:r>
      <w:r>
        <w:rPr>
          <w:rFonts w:eastAsia="Arial Unicode MS"/>
          <w:lang w:val="sr-Cyrl-CS"/>
        </w:rPr>
        <w:t xml:space="preserve"> </w:t>
      </w:r>
      <w:r w:rsidRPr="00FB6277">
        <w:rPr>
          <w:rFonts w:eastAsia="Arial Unicode MS"/>
          <w:lang w:val="sr-Cyrl-CS"/>
        </w:rPr>
        <w:t>манифестац</w:t>
      </w:r>
      <w:r>
        <w:rPr>
          <w:rFonts w:eastAsia="Arial Unicode MS"/>
          <w:lang w:val="sr-Cyrl-CS"/>
        </w:rPr>
        <w:t>ији успешним и корисним и остају</w:t>
      </w:r>
      <w:r w:rsidRPr="00FB6277">
        <w:rPr>
          <w:rFonts w:eastAsia="Arial Unicode MS"/>
          <w:lang w:val="sr-Cyrl-CS"/>
        </w:rPr>
        <w:t xml:space="preserve"> на располагању за додатне информације, уколико за то постоји интерес.</w:t>
      </w:r>
    </w:p>
    <w:p w:rsidR="00BC5150" w:rsidRPr="00FB6277" w:rsidRDefault="00BC5150" w:rsidP="00BC5150">
      <w:pPr>
        <w:spacing w:line="240" w:lineRule="atLeast"/>
        <w:jc w:val="both"/>
        <w:rPr>
          <w:lang w:val="sr-Cyrl-CS"/>
        </w:rPr>
      </w:pPr>
    </w:p>
    <w:p w:rsidR="00BC5150" w:rsidRPr="00FB6277" w:rsidRDefault="00BC5150" w:rsidP="00BC5150">
      <w:pPr>
        <w:spacing w:line="240" w:lineRule="atLeast"/>
        <w:jc w:val="both"/>
        <w:rPr>
          <w:u w:val="single"/>
          <w:lang w:val="sr-Cyrl-CS"/>
        </w:rPr>
      </w:pPr>
      <w:r w:rsidRPr="00747B7A">
        <w:rPr>
          <w:b/>
          <w:u w:val="single"/>
          <w:lang w:val="sr-Cyrl-CS"/>
        </w:rPr>
        <w:t>Народни послани</w:t>
      </w:r>
      <w:r>
        <w:rPr>
          <w:b/>
          <w:u w:val="single"/>
          <w:lang w:val="sr-Cyrl-CS"/>
        </w:rPr>
        <w:t>ци</w:t>
      </w:r>
      <w:r w:rsidRPr="00747B7A">
        <w:rPr>
          <w:b/>
          <w:u w:val="single"/>
          <w:lang w:val="sr-Cyrl-CS"/>
        </w:rPr>
        <w:t xml:space="preserve"> предлаж</w:t>
      </w:r>
      <w:r>
        <w:rPr>
          <w:b/>
          <w:u w:val="single"/>
          <w:lang w:val="sr-Cyrl-CS"/>
        </w:rPr>
        <w:t>у</w:t>
      </w:r>
      <w:r w:rsidRPr="00FB6277">
        <w:rPr>
          <w:u w:val="single"/>
          <w:lang w:val="sr-Cyrl-CS"/>
        </w:rPr>
        <w:t>:</w:t>
      </w:r>
    </w:p>
    <w:p w:rsidR="00BC5150" w:rsidRPr="00FB6277" w:rsidRDefault="00BC5150" w:rsidP="00BC5150">
      <w:pPr>
        <w:spacing w:line="240" w:lineRule="atLeast"/>
        <w:jc w:val="both"/>
        <w:rPr>
          <w:u w:val="single"/>
          <w:lang w:val="sr-Cyrl-CS"/>
        </w:rPr>
      </w:pPr>
    </w:p>
    <w:p w:rsidR="00BC5150" w:rsidRPr="00FB6277" w:rsidRDefault="00BC5150" w:rsidP="00BC5150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 w:rsidRPr="00FB6277">
        <w:rPr>
          <w:lang w:val="sr-Cyrl-CS"/>
        </w:rPr>
        <w:t>да Одбор за спољне послове размотри и усвоји Извештај народн</w:t>
      </w:r>
      <w:r>
        <w:rPr>
          <w:lang w:val="sr-Cyrl-CS"/>
        </w:rPr>
        <w:t>их</w:t>
      </w:r>
      <w:r w:rsidRPr="00FB6277">
        <w:rPr>
          <w:lang w:val="sr-Cyrl-CS"/>
        </w:rPr>
        <w:t xml:space="preserve"> посланика Александра Чотрића </w:t>
      </w:r>
      <w:r>
        <w:rPr>
          <w:lang w:val="sr-Cyrl-CS"/>
        </w:rPr>
        <w:t xml:space="preserve">и Миодрага Линте </w:t>
      </w:r>
      <w:r w:rsidRPr="00FB6277">
        <w:rPr>
          <w:lang w:val="sr-Cyrl-CS"/>
        </w:rPr>
        <w:t>о посети Румунији 1</w:t>
      </w:r>
      <w:r>
        <w:rPr>
          <w:lang w:val="sr-Cyrl-CS"/>
        </w:rPr>
        <w:t>6</w:t>
      </w:r>
      <w:r w:rsidRPr="00FB6277">
        <w:rPr>
          <w:lang w:val="sr-Cyrl-CS"/>
        </w:rPr>
        <w:t>.</w:t>
      </w:r>
      <w:r>
        <w:rPr>
          <w:lang w:val="sr-Cyrl-CS"/>
        </w:rPr>
        <w:t>новембр</w:t>
      </w:r>
      <w:r w:rsidRPr="00FB6277">
        <w:rPr>
          <w:lang w:val="sr-Cyrl-CS"/>
        </w:rPr>
        <w:t>а 2012. године;</w:t>
      </w:r>
    </w:p>
    <w:p w:rsidR="00BC5150" w:rsidRPr="00FB6277" w:rsidRDefault="00BC5150" w:rsidP="00BC5150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 w:rsidRPr="00FB6277">
        <w:rPr>
          <w:lang w:val="sr-Cyrl-CS"/>
        </w:rPr>
        <w:t xml:space="preserve"> да се Извештај ради информисања достави председнику НС РС мр Небојши Стефановићу, свим члановима Одбора за дијаспору и Србе у региону, као и генералном секретару НС РС.</w:t>
      </w:r>
    </w:p>
    <w:p w:rsidR="00BC5150" w:rsidRPr="00FB6277" w:rsidRDefault="00BC5150" w:rsidP="00BC5150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 w:rsidRPr="00FB6277">
        <w:rPr>
          <w:rFonts w:eastAsia="Arial Unicode MS"/>
          <w:lang w:val="ru-RU"/>
        </w:rPr>
        <w:t>да се Извештај, ради информисања и евентуалног пре</w:t>
      </w:r>
      <w:r>
        <w:rPr>
          <w:rFonts w:eastAsia="Arial Unicode MS"/>
          <w:lang w:val="ru-RU"/>
        </w:rPr>
        <w:t>д</w:t>
      </w:r>
      <w:r w:rsidRPr="00FB6277">
        <w:rPr>
          <w:rFonts w:eastAsia="Arial Unicode MS"/>
          <w:lang w:val="ru-RU"/>
        </w:rPr>
        <w:t>узимања мера из домена њихове надлежности, достави Министарству културе и информисања</w:t>
      </w:r>
      <w:r>
        <w:rPr>
          <w:rFonts w:eastAsia="Arial Unicode MS"/>
          <w:lang w:val="ru-RU"/>
        </w:rPr>
        <w:t>, Министарству унутрашњих послова</w:t>
      </w:r>
      <w:r w:rsidRPr="00FB6277">
        <w:rPr>
          <w:rFonts w:eastAsia="Arial Unicode MS"/>
          <w:lang w:val="ru-RU"/>
        </w:rPr>
        <w:t xml:space="preserve"> и Министарству просвете</w:t>
      </w:r>
      <w:r>
        <w:rPr>
          <w:rFonts w:eastAsia="Arial Unicode MS"/>
          <w:lang w:val="ru-RU"/>
        </w:rPr>
        <w:t xml:space="preserve"> науке и технолошког развоја</w:t>
      </w:r>
      <w:r w:rsidRPr="00FB6277">
        <w:rPr>
          <w:rFonts w:eastAsia="Arial Unicode MS"/>
          <w:lang w:val="ru-RU"/>
        </w:rPr>
        <w:t xml:space="preserve"> Републике Србије.</w:t>
      </w:r>
    </w:p>
    <w:p w:rsidR="00BC5150" w:rsidRPr="00FB6277" w:rsidRDefault="00BC5150" w:rsidP="00BC5150">
      <w:pPr>
        <w:spacing w:line="240" w:lineRule="atLeast"/>
        <w:ind w:firstLine="720"/>
        <w:jc w:val="both"/>
        <w:rPr>
          <w:lang w:val="sr-Cyrl-CS"/>
        </w:rPr>
      </w:pPr>
    </w:p>
    <w:p w:rsidR="007400D4" w:rsidRDefault="007400D4">
      <w:bookmarkStart w:id="0" w:name="_GoBack"/>
      <w:bookmarkEnd w:id="0"/>
    </w:p>
    <w:sectPr w:rsidR="00740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37C8"/>
    <w:multiLevelType w:val="hybridMultilevel"/>
    <w:tmpl w:val="F54CFAE6"/>
    <w:lvl w:ilvl="0" w:tplc="23665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50"/>
    <w:rsid w:val="007400D4"/>
    <w:rsid w:val="00B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51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51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2012-12-10T15:19:00Z</dcterms:created>
  <dcterms:modified xsi:type="dcterms:W3CDTF">2012-12-10T15:20:00Z</dcterms:modified>
</cp:coreProperties>
</file>